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39729" w14:textId="77777777" w:rsidR="0047679D" w:rsidRDefault="0047679D" w:rsidP="0047679D">
      <w:pPr>
        <w:pStyle w:val="Default"/>
        <w:rPr>
          <w:b/>
          <w:bCs/>
          <w:sz w:val="20"/>
          <w:szCs w:val="20"/>
        </w:rPr>
      </w:pPr>
    </w:p>
    <w:p w14:paraId="41F065A2" w14:textId="77777777" w:rsidR="001A1A4B" w:rsidRDefault="001A1A4B" w:rsidP="00D55D8E">
      <w:pPr>
        <w:pStyle w:val="Default"/>
        <w:jc w:val="center"/>
        <w:rPr>
          <w:b/>
          <w:bCs/>
          <w:sz w:val="20"/>
          <w:szCs w:val="20"/>
        </w:rPr>
      </w:pPr>
    </w:p>
    <w:p w14:paraId="333B7625" w14:textId="77777777" w:rsidR="001A1A4B" w:rsidRDefault="001A1A4B" w:rsidP="00D55D8E">
      <w:pPr>
        <w:pStyle w:val="Default"/>
        <w:jc w:val="center"/>
        <w:rPr>
          <w:b/>
          <w:bCs/>
          <w:sz w:val="20"/>
          <w:szCs w:val="20"/>
        </w:rPr>
      </w:pPr>
    </w:p>
    <w:p w14:paraId="56698921" w14:textId="77777777" w:rsidR="001A1A4B" w:rsidRDefault="001A1A4B" w:rsidP="00D55D8E">
      <w:pPr>
        <w:pStyle w:val="Default"/>
        <w:jc w:val="center"/>
        <w:rPr>
          <w:b/>
          <w:bCs/>
          <w:sz w:val="20"/>
          <w:szCs w:val="20"/>
        </w:rPr>
      </w:pPr>
    </w:p>
    <w:p w14:paraId="4E26BB09" w14:textId="0B3048E7" w:rsidR="00D55D8E" w:rsidRDefault="00D55D8E" w:rsidP="00D55D8E">
      <w:pPr>
        <w:pStyle w:val="Default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TEORIAS DA EDUCAÇÃO A DISTÂNCIA</w:t>
      </w:r>
    </w:p>
    <w:p w14:paraId="65B68724" w14:textId="4EAFDE34" w:rsidR="001A1A4B" w:rsidRDefault="001A1A4B" w:rsidP="00D55D8E">
      <w:pPr>
        <w:pStyle w:val="Default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BIBLIOGRAFIA ANOTADA</w:t>
      </w:r>
    </w:p>
    <w:p w14:paraId="3D4579A9" w14:textId="77777777" w:rsidR="00D55D8E" w:rsidRDefault="00D55D8E" w:rsidP="00D55D8E">
      <w:pPr>
        <w:jc w:val="both"/>
        <w:rPr>
          <w:rFonts w:ascii="Arial" w:hAnsi="Arial" w:cs="Arial"/>
          <w:b/>
          <w:bCs/>
        </w:rPr>
      </w:pPr>
      <w:bookmarkStart w:id="0" w:name="_Hlk192148899"/>
    </w:p>
    <w:p w14:paraId="0E624B38" w14:textId="77777777" w:rsidR="001A1A4B" w:rsidRDefault="001A1A4B" w:rsidP="00D55D8E">
      <w:pPr>
        <w:jc w:val="both"/>
        <w:rPr>
          <w:rFonts w:ascii="Arial" w:hAnsi="Arial" w:cs="Arial"/>
          <w:b/>
          <w:bCs/>
        </w:rPr>
      </w:pPr>
    </w:p>
    <w:p w14:paraId="587EA5AA" w14:textId="3324C96D" w:rsidR="00D55D8E" w:rsidRDefault="00D55D8E" w:rsidP="00D55D8E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 Bibliografias Anotadas a seguir são resultado dos contributos dos</w:t>
      </w:r>
      <w:r w:rsidR="001A1A4B">
        <w:rPr>
          <w:rFonts w:ascii="Arial" w:hAnsi="Arial" w:cs="Arial"/>
          <w:b/>
          <w:bCs/>
        </w:rPr>
        <w:t xml:space="preserve"> 5</w:t>
      </w:r>
      <w:r>
        <w:rPr>
          <w:rFonts w:ascii="Arial" w:hAnsi="Arial" w:cs="Arial"/>
          <w:b/>
          <w:bCs/>
        </w:rPr>
        <w:t xml:space="preserve"> Grupos </w:t>
      </w:r>
      <w:r w:rsidR="001A1A4B">
        <w:rPr>
          <w:rFonts w:ascii="Arial" w:hAnsi="Arial" w:cs="Arial"/>
          <w:b/>
          <w:bCs/>
        </w:rPr>
        <w:t xml:space="preserve">de Trabalho, </w:t>
      </w:r>
      <w:r>
        <w:rPr>
          <w:rFonts w:ascii="Arial" w:hAnsi="Arial" w:cs="Arial"/>
          <w:b/>
          <w:bCs/>
        </w:rPr>
        <w:t>envolvidos no desenvolvimento dos estudos e debates sobre as Teorias da EAD.</w:t>
      </w:r>
    </w:p>
    <w:p w14:paraId="7CAB67D1" w14:textId="25501CE9" w:rsidR="00D55D8E" w:rsidRDefault="00D55D8E" w:rsidP="00D55D8E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Abaixo, segue o contributo do Grupo 5, </w:t>
      </w:r>
      <w:r w:rsidR="001A1A4B">
        <w:rPr>
          <w:rFonts w:ascii="Arial" w:hAnsi="Arial" w:cs="Arial"/>
          <w:b/>
          <w:bCs/>
        </w:rPr>
        <w:t xml:space="preserve">e na sequência os links de acesso as demais </w:t>
      </w:r>
      <w:r>
        <w:rPr>
          <w:rFonts w:ascii="Arial" w:hAnsi="Arial" w:cs="Arial"/>
          <w:b/>
          <w:bCs/>
        </w:rPr>
        <w:t xml:space="preserve">contribuições </w:t>
      </w:r>
      <w:r w:rsidR="001A1A4B">
        <w:rPr>
          <w:rFonts w:ascii="Arial" w:hAnsi="Arial" w:cs="Arial"/>
          <w:b/>
          <w:bCs/>
        </w:rPr>
        <w:t xml:space="preserve">das outras </w:t>
      </w:r>
      <w:r>
        <w:rPr>
          <w:rFonts w:ascii="Arial" w:hAnsi="Arial" w:cs="Arial"/>
          <w:b/>
          <w:bCs/>
        </w:rPr>
        <w:t>equipas:</w:t>
      </w:r>
    </w:p>
    <w:p w14:paraId="6C161DE9" w14:textId="40C36705" w:rsidR="00D55D8E" w:rsidRDefault="00D55D8E" w:rsidP="00D55D8E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 </w:t>
      </w:r>
      <w:r w:rsidRPr="00900B4F">
        <w:rPr>
          <w:rFonts w:ascii="Arial" w:hAnsi="Arial" w:cs="Arial"/>
          <w:b/>
          <w:bCs/>
        </w:rPr>
        <w:t>Contribuição Grupo 5:</w:t>
      </w:r>
      <w:r>
        <w:rPr>
          <w:rFonts w:ascii="Arial" w:hAnsi="Arial" w:cs="Arial"/>
        </w:rPr>
        <w:t xml:space="preserve"> Teoria da Distância Transacional x Teoria da Comunidade de Inquirição:</w:t>
      </w:r>
    </w:p>
    <w:p w14:paraId="066840C0" w14:textId="77777777" w:rsidR="00D905FB" w:rsidRPr="00D905FB" w:rsidRDefault="00D905FB" w:rsidP="00D905FB">
      <w:pPr>
        <w:jc w:val="center"/>
        <w:rPr>
          <w:rFonts w:ascii="Arial" w:hAnsi="Arial" w:cs="Arial"/>
        </w:rPr>
      </w:pPr>
      <w:r w:rsidRPr="00D905FB">
        <w:rPr>
          <w:rFonts w:ascii="Arial" w:hAnsi="Arial" w:cs="Arial"/>
        </w:rPr>
        <w:t>Andréa Veiga Marin</w:t>
      </w:r>
    </w:p>
    <w:p w14:paraId="5E98D5DC" w14:textId="77777777" w:rsidR="00D905FB" w:rsidRPr="00D905FB" w:rsidRDefault="00D905FB" w:rsidP="00D905FB">
      <w:pPr>
        <w:jc w:val="center"/>
        <w:rPr>
          <w:rFonts w:ascii="Arial" w:hAnsi="Arial" w:cs="Arial"/>
        </w:rPr>
      </w:pPr>
      <w:r w:rsidRPr="00D905FB">
        <w:rPr>
          <w:rFonts w:ascii="Arial" w:hAnsi="Arial" w:cs="Arial"/>
        </w:rPr>
        <w:t>Marisa Ferreira</w:t>
      </w:r>
    </w:p>
    <w:p w14:paraId="51C40A18" w14:textId="77777777" w:rsidR="00D905FB" w:rsidRPr="00D905FB" w:rsidRDefault="00D905FB" w:rsidP="00D905FB">
      <w:pPr>
        <w:jc w:val="center"/>
        <w:rPr>
          <w:rFonts w:ascii="Arial" w:hAnsi="Arial" w:cs="Arial"/>
        </w:rPr>
      </w:pPr>
      <w:r w:rsidRPr="00D905FB">
        <w:rPr>
          <w:rFonts w:ascii="Arial" w:hAnsi="Arial" w:cs="Arial"/>
        </w:rPr>
        <w:t>Rafael Vieira</w:t>
      </w:r>
    </w:p>
    <w:p w14:paraId="43EB53EB" w14:textId="77777777" w:rsidR="00D905FB" w:rsidRPr="00D905FB" w:rsidRDefault="00D905FB" w:rsidP="00D905FB">
      <w:pPr>
        <w:jc w:val="center"/>
        <w:rPr>
          <w:rFonts w:ascii="Arial" w:hAnsi="Arial" w:cs="Arial"/>
        </w:rPr>
      </w:pPr>
      <w:r w:rsidRPr="00D905FB">
        <w:rPr>
          <w:rFonts w:ascii="Arial" w:hAnsi="Arial" w:cs="Arial"/>
        </w:rPr>
        <w:t>Rosa Luísa Gaspar</w:t>
      </w:r>
    </w:p>
    <w:p w14:paraId="185EE0D9" w14:textId="77777777" w:rsidR="00D905FB" w:rsidRPr="00D905FB" w:rsidRDefault="00D905FB" w:rsidP="00D905FB">
      <w:pPr>
        <w:jc w:val="center"/>
        <w:rPr>
          <w:rFonts w:ascii="Arial" w:hAnsi="Arial" w:cs="Arial"/>
        </w:rPr>
      </w:pPr>
      <w:r w:rsidRPr="00D905FB">
        <w:rPr>
          <w:rFonts w:ascii="Arial" w:hAnsi="Arial" w:cs="Arial"/>
        </w:rPr>
        <w:t>Rui Miguel Pires</w:t>
      </w:r>
    </w:p>
    <w:p w14:paraId="7FD9132D" w14:textId="77777777" w:rsidR="00D905FB" w:rsidRDefault="00D905FB" w:rsidP="00D905FB">
      <w:pPr>
        <w:jc w:val="center"/>
        <w:rPr>
          <w:rFonts w:ascii="Arial" w:hAnsi="Arial" w:cs="Arial"/>
        </w:rPr>
      </w:pPr>
      <w:r w:rsidRPr="00D905FB">
        <w:rPr>
          <w:rFonts w:ascii="Arial" w:hAnsi="Arial" w:cs="Arial"/>
        </w:rPr>
        <w:t>Rui Miguel Rodrigues</w:t>
      </w:r>
    </w:p>
    <w:bookmarkEnd w:id="0"/>
    <w:p w14:paraId="27865594" w14:textId="77777777" w:rsidR="00D55D8E" w:rsidRDefault="00D55D8E" w:rsidP="00D55D8E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Anderson, T. (2011). </w:t>
      </w:r>
      <w:proofErr w:type="spellStart"/>
      <w:r>
        <w:rPr>
          <w:b/>
          <w:bCs/>
          <w:i/>
          <w:iCs/>
          <w:sz w:val="20"/>
          <w:szCs w:val="20"/>
        </w:rPr>
        <w:t>Three</w:t>
      </w:r>
      <w:proofErr w:type="spellEnd"/>
      <w:r>
        <w:rPr>
          <w:b/>
          <w:bCs/>
          <w:i/>
          <w:iCs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sz w:val="20"/>
          <w:szCs w:val="20"/>
        </w:rPr>
        <w:t>generations</w:t>
      </w:r>
      <w:proofErr w:type="spellEnd"/>
      <w:r>
        <w:rPr>
          <w:b/>
          <w:bCs/>
          <w:i/>
          <w:iCs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sz w:val="20"/>
          <w:szCs w:val="20"/>
        </w:rPr>
        <w:t>of</w:t>
      </w:r>
      <w:proofErr w:type="spellEnd"/>
      <w:r>
        <w:rPr>
          <w:b/>
          <w:bCs/>
          <w:i/>
          <w:iCs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sz w:val="20"/>
          <w:szCs w:val="20"/>
        </w:rPr>
        <w:t>distance</w:t>
      </w:r>
      <w:proofErr w:type="spellEnd"/>
      <w:r>
        <w:rPr>
          <w:b/>
          <w:bCs/>
          <w:i/>
          <w:iCs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sz w:val="20"/>
          <w:szCs w:val="20"/>
        </w:rPr>
        <w:t>education</w:t>
      </w:r>
      <w:proofErr w:type="spellEnd"/>
      <w:r>
        <w:rPr>
          <w:b/>
          <w:bCs/>
          <w:i/>
          <w:iCs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sz w:val="20"/>
          <w:szCs w:val="20"/>
        </w:rPr>
        <w:t>pedagogy</w:t>
      </w:r>
      <w:proofErr w:type="spellEnd"/>
      <w:r>
        <w:rPr>
          <w:b/>
          <w:bCs/>
          <w:i/>
          <w:iCs/>
          <w:sz w:val="20"/>
          <w:szCs w:val="20"/>
        </w:rPr>
        <w:t xml:space="preserve">. </w:t>
      </w:r>
      <w:proofErr w:type="spellStart"/>
      <w:r>
        <w:rPr>
          <w:b/>
          <w:bCs/>
          <w:sz w:val="20"/>
          <w:szCs w:val="20"/>
        </w:rPr>
        <w:t>International</w:t>
      </w:r>
      <w:proofErr w:type="spellEnd"/>
      <w:r>
        <w:rPr>
          <w:b/>
          <w:bCs/>
          <w:sz w:val="20"/>
          <w:szCs w:val="20"/>
        </w:rPr>
        <w:t xml:space="preserve"> </w:t>
      </w:r>
      <w:proofErr w:type="spellStart"/>
      <w:r>
        <w:rPr>
          <w:b/>
          <w:bCs/>
          <w:sz w:val="20"/>
          <w:szCs w:val="20"/>
        </w:rPr>
        <w:t>Journal</w:t>
      </w:r>
      <w:proofErr w:type="spellEnd"/>
      <w:r>
        <w:rPr>
          <w:b/>
          <w:bCs/>
          <w:sz w:val="20"/>
          <w:szCs w:val="20"/>
        </w:rPr>
        <w:t xml:space="preserve"> </w:t>
      </w:r>
      <w:proofErr w:type="spellStart"/>
      <w:r>
        <w:rPr>
          <w:b/>
          <w:bCs/>
          <w:sz w:val="20"/>
          <w:szCs w:val="20"/>
        </w:rPr>
        <w:t>of</w:t>
      </w:r>
      <w:proofErr w:type="spellEnd"/>
      <w:r>
        <w:rPr>
          <w:b/>
          <w:bCs/>
          <w:sz w:val="20"/>
          <w:szCs w:val="20"/>
        </w:rPr>
        <w:t xml:space="preserve"> E-Learning &amp; Distance </w:t>
      </w:r>
      <w:proofErr w:type="spellStart"/>
      <w:r>
        <w:rPr>
          <w:b/>
          <w:bCs/>
          <w:sz w:val="20"/>
          <w:szCs w:val="20"/>
        </w:rPr>
        <w:t>Education</w:t>
      </w:r>
      <w:proofErr w:type="spellEnd"/>
      <w:r>
        <w:rPr>
          <w:b/>
          <w:bCs/>
          <w:sz w:val="20"/>
          <w:szCs w:val="20"/>
        </w:rPr>
        <w:t>, 25(1), 103-118.</w:t>
      </w:r>
    </w:p>
    <w:p w14:paraId="678DD1D3" w14:textId="77777777" w:rsidR="00D55D8E" w:rsidRDefault="00D55D8E" w:rsidP="00D55D8E">
      <w:pPr>
        <w:pStyle w:val="Default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 xml:space="preserve">https://doi.org/10.19173/irrodl.v12i3.890 </w:t>
      </w:r>
    </w:p>
    <w:p w14:paraId="46B77B4C" w14:textId="77777777" w:rsidR="00D55D8E" w:rsidRDefault="00D55D8E" w:rsidP="00D55D8E">
      <w:pPr>
        <w:pStyle w:val="Default"/>
        <w:rPr>
          <w:color w:val="0000FF"/>
          <w:sz w:val="20"/>
          <w:szCs w:val="20"/>
        </w:rPr>
      </w:pPr>
    </w:p>
    <w:p w14:paraId="0801DED1" w14:textId="77777777" w:rsidR="00D55D8E" w:rsidRDefault="00D55D8E" w:rsidP="00D55D8E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Anderson (2011) analisa a evolução das abordagens pedagógicas na educação a distância, identificando três gerações distintas. A primeira geração caracteriza-se por um modelo instrucional centrado no conteúdo, no qual o estudante assume um papel passivo, sendo a aprendizagem predominantemente baseada em materiais escritos. A segunda geração desloca o foco para o professor, utilizando meios de comunicação como rádio e televisão para a transmissão unidirecional do conhecimento. A terceira geração, por sua vez, adota uma abordagem centrada no estudante, promovendo a aprendizagem colaborativa e interativa através de tecnologias digitais, como plataformas online e videoconferências. O autor argumenta que esta última abordagem apresenta um maior potencial para o futuro da educação, ao possibilitar experiências de aprendizagem mais flexíveis, personalizadas e interconectadas. </w:t>
      </w:r>
    </w:p>
    <w:p w14:paraId="4ACDA0FC" w14:textId="77777777" w:rsidR="00D55D8E" w:rsidRDefault="00D55D8E" w:rsidP="00D55D8E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O artigo apresenta uma análise aprofundada sobre a evolução das pedagogias na educação a distância, evidenciando a influência das tecnologias no processo de ensino-aprendizagem. A distinção entre as três gerações constitui um contributo relevante para compreender a transição de modelos tradicionais para abordagens mais dinâmicas e interativas. Contudo, o autor poderia ter explorado de forma mais detalhada a interseção entre estas gerações, especialmente em contextos híbridos, onde diferentes modelos coexistem e se complementam. Adicionalmente, a inclusão de uma reflexão sobre o impacto de tecnologias emergentes, como a inteligência artificial, poderia enriquecer a discussão sobre o futuro da educação a distância. </w:t>
      </w:r>
    </w:p>
    <w:p w14:paraId="4DA5D211" w14:textId="77777777" w:rsidR="00D55D8E" w:rsidRDefault="00D55D8E" w:rsidP="00D55D8E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Apesar dessas limitações, o estudo de Anderson constitui uma referência fundamental para educadores e investigadores, fornecendo um enquadramento teórico relevante para a adaptação das práticas pedagógicas a um contexto educacional em constante transformação. A análise do autor reforça a necessidade de adotar modelos educativos mais interativos, flexíveis e inclusivos, promovendo a autonomia e a participação ativa dos estudantes na construção do conhecimento no ambiente digital. </w:t>
      </w:r>
    </w:p>
    <w:p w14:paraId="6D78ACF1" w14:textId="77777777" w:rsidR="00D55D8E" w:rsidRDefault="00D55D8E" w:rsidP="00D55D8E">
      <w:pPr>
        <w:pStyle w:val="Default"/>
        <w:jc w:val="both"/>
        <w:rPr>
          <w:sz w:val="20"/>
          <w:szCs w:val="20"/>
        </w:rPr>
      </w:pPr>
    </w:p>
    <w:p w14:paraId="6358B8A4" w14:textId="77777777" w:rsidR="001A1A4B" w:rsidRDefault="001A1A4B" w:rsidP="00D55D8E">
      <w:pPr>
        <w:pStyle w:val="Default"/>
        <w:rPr>
          <w:b/>
          <w:bCs/>
          <w:sz w:val="20"/>
          <w:szCs w:val="20"/>
        </w:rPr>
      </w:pPr>
    </w:p>
    <w:p w14:paraId="5343736A" w14:textId="77777777" w:rsidR="001A1A4B" w:rsidRDefault="001A1A4B" w:rsidP="00D55D8E">
      <w:pPr>
        <w:pStyle w:val="Default"/>
        <w:rPr>
          <w:b/>
          <w:bCs/>
          <w:sz w:val="20"/>
          <w:szCs w:val="20"/>
        </w:rPr>
      </w:pPr>
    </w:p>
    <w:p w14:paraId="498F806D" w14:textId="48DB027F" w:rsidR="00D55D8E" w:rsidRDefault="00D55D8E" w:rsidP="00D55D8E">
      <w:pPr>
        <w:pStyle w:val="Default"/>
        <w:rPr>
          <w:color w:val="0000FF"/>
          <w:sz w:val="20"/>
          <w:szCs w:val="20"/>
        </w:rPr>
      </w:pPr>
      <w:r>
        <w:rPr>
          <w:b/>
          <w:bCs/>
          <w:sz w:val="20"/>
          <w:szCs w:val="20"/>
        </w:rPr>
        <w:t xml:space="preserve">Garrison, D. R. (2000). </w:t>
      </w:r>
      <w:proofErr w:type="spellStart"/>
      <w:r>
        <w:rPr>
          <w:b/>
          <w:bCs/>
          <w:i/>
          <w:iCs/>
          <w:sz w:val="20"/>
          <w:szCs w:val="20"/>
        </w:rPr>
        <w:t>Theoretical</w:t>
      </w:r>
      <w:proofErr w:type="spellEnd"/>
      <w:r>
        <w:rPr>
          <w:b/>
          <w:bCs/>
          <w:i/>
          <w:iCs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sz w:val="20"/>
          <w:szCs w:val="20"/>
        </w:rPr>
        <w:t>challenges</w:t>
      </w:r>
      <w:proofErr w:type="spellEnd"/>
      <w:r>
        <w:rPr>
          <w:b/>
          <w:bCs/>
          <w:i/>
          <w:iCs/>
          <w:sz w:val="20"/>
          <w:szCs w:val="20"/>
        </w:rPr>
        <w:t xml:space="preserve"> for </w:t>
      </w:r>
      <w:proofErr w:type="spellStart"/>
      <w:r>
        <w:rPr>
          <w:b/>
          <w:bCs/>
          <w:i/>
          <w:iCs/>
          <w:sz w:val="20"/>
          <w:szCs w:val="20"/>
        </w:rPr>
        <w:t>distance</w:t>
      </w:r>
      <w:proofErr w:type="spellEnd"/>
      <w:r>
        <w:rPr>
          <w:b/>
          <w:bCs/>
          <w:i/>
          <w:iCs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sz w:val="20"/>
          <w:szCs w:val="20"/>
        </w:rPr>
        <w:t>education</w:t>
      </w:r>
      <w:proofErr w:type="spellEnd"/>
      <w:r>
        <w:rPr>
          <w:b/>
          <w:bCs/>
          <w:i/>
          <w:iCs/>
          <w:sz w:val="20"/>
          <w:szCs w:val="20"/>
        </w:rPr>
        <w:t xml:space="preserve"> in </w:t>
      </w:r>
      <w:proofErr w:type="spellStart"/>
      <w:r>
        <w:rPr>
          <w:b/>
          <w:bCs/>
          <w:i/>
          <w:iCs/>
          <w:sz w:val="20"/>
          <w:szCs w:val="20"/>
        </w:rPr>
        <w:t>the</w:t>
      </w:r>
      <w:proofErr w:type="spellEnd"/>
      <w:r>
        <w:rPr>
          <w:b/>
          <w:bCs/>
          <w:i/>
          <w:iCs/>
          <w:sz w:val="20"/>
          <w:szCs w:val="20"/>
        </w:rPr>
        <w:t xml:space="preserve"> 21st </w:t>
      </w:r>
      <w:proofErr w:type="spellStart"/>
      <w:r>
        <w:rPr>
          <w:b/>
          <w:bCs/>
          <w:i/>
          <w:iCs/>
          <w:sz w:val="20"/>
          <w:szCs w:val="20"/>
        </w:rPr>
        <w:t>century</w:t>
      </w:r>
      <w:proofErr w:type="spellEnd"/>
      <w:r>
        <w:rPr>
          <w:b/>
          <w:bCs/>
          <w:i/>
          <w:iCs/>
          <w:sz w:val="20"/>
          <w:szCs w:val="20"/>
        </w:rPr>
        <w:t xml:space="preserve">: A shift </w:t>
      </w:r>
      <w:proofErr w:type="spellStart"/>
      <w:r>
        <w:rPr>
          <w:b/>
          <w:bCs/>
          <w:i/>
          <w:iCs/>
          <w:sz w:val="20"/>
          <w:szCs w:val="20"/>
        </w:rPr>
        <w:t>from</w:t>
      </w:r>
      <w:proofErr w:type="spellEnd"/>
      <w:r>
        <w:rPr>
          <w:b/>
          <w:bCs/>
          <w:i/>
          <w:iCs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sz w:val="20"/>
          <w:szCs w:val="20"/>
        </w:rPr>
        <w:t>structural</w:t>
      </w:r>
      <w:proofErr w:type="spellEnd"/>
      <w:r>
        <w:rPr>
          <w:b/>
          <w:bCs/>
          <w:i/>
          <w:iCs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sz w:val="20"/>
          <w:szCs w:val="20"/>
        </w:rPr>
        <w:t>to</w:t>
      </w:r>
      <w:proofErr w:type="spellEnd"/>
      <w:r>
        <w:rPr>
          <w:b/>
          <w:bCs/>
          <w:i/>
          <w:iCs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sz w:val="20"/>
          <w:szCs w:val="20"/>
        </w:rPr>
        <w:t>transactional</w:t>
      </w:r>
      <w:proofErr w:type="spellEnd"/>
      <w:r>
        <w:rPr>
          <w:b/>
          <w:bCs/>
          <w:i/>
          <w:iCs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sz w:val="20"/>
          <w:szCs w:val="20"/>
        </w:rPr>
        <w:t>issues</w:t>
      </w:r>
      <w:proofErr w:type="spellEnd"/>
      <w:r>
        <w:rPr>
          <w:b/>
          <w:bCs/>
          <w:sz w:val="20"/>
          <w:szCs w:val="20"/>
        </w:rPr>
        <w:t xml:space="preserve">. The </w:t>
      </w:r>
      <w:proofErr w:type="spellStart"/>
      <w:r>
        <w:rPr>
          <w:b/>
          <w:bCs/>
          <w:sz w:val="20"/>
          <w:szCs w:val="20"/>
        </w:rPr>
        <w:t>Quarterly</w:t>
      </w:r>
      <w:proofErr w:type="spellEnd"/>
      <w:r>
        <w:rPr>
          <w:b/>
          <w:bCs/>
          <w:sz w:val="20"/>
          <w:szCs w:val="20"/>
        </w:rPr>
        <w:t xml:space="preserve"> Review </w:t>
      </w:r>
      <w:proofErr w:type="spellStart"/>
      <w:r>
        <w:rPr>
          <w:b/>
          <w:bCs/>
          <w:sz w:val="20"/>
          <w:szCs w:val="20"/>
        </w:rPr>
        <w:t>of</w:t>
      </w:r>
      <w:proofErr w:type="spellEnd"/>
      <w:r>
        <w:rPr>
          <w:b/>
          <w:bCs/>
          <w:sz w:val="20"/>
          <w:szCs w:val="20"/>
        </w:rPr>
        <w:t xml:space="preserve"> Distance </w:t>
      </w:r>
      <w:proofErr w:type="spellStart"/>
      <w:r>
        <w:rPr>
          <w:b/>
          <w:bCs/>
          <w:sz w:val="20"/>
          <w:szCs w:val="20"/>
        </w:rPr>
        <w:t>Education</w:t>
      </w:r>
      <w:proofErr w:type="spellEnd"/>
      <w:r>
        <w:rPr>
          <w:b/>
          <w:bCs/>
          <w:sz w:val="20"/>
          <w:szCs w:val="20"/>
        </w:rPr>
        <w:t xml:space="preserve">, 1(1), 1-17. </w:t>
      </w:r>
      <w:hyperlink r:id="rId7" w:history="1">
        <w:r w:rsidRPr="00EC092B">
          <w:rPr>
            <w:rStyle w:val="Hyperlink"/>
            <w:sz w:val="20"/>
            <w:szCs w:val="20"/>
          </w:rPr>
          <w:t>https://www.researchgate.net/publication/26455170_Theoretical_Challenges_for_Distance_Education_in_the_21st_Century_A_Shift_from_Structural_to_Transactional_Issues</w:t>
        </w:r>
      </w:hyperlink>
      <w:r>
        <w:rPr>
          <w:color w:val="0000FF"/>
          <w:sz w:val="20"/>
          <w:szCs w:val="20"/>
        </w:rPr>
        <w:t xml:space="preserve"> </w:t>
      </w:r>
    </w:p>
    <w:p w14:paraId="213EBE93" w14:textId="77777777" w:rsidR="00D55D8E" w:rsidRDefault="00D55D8E" w:rsidP="00D55D8E">
      <w:pPr>
        <w:pStyle w:val="Default"/>
        <w:jc w:val="both"/>
        <w:rPr>
          <w:color w:val="0000FF"/>
          <w:sz w:val="20"/>
          <w:szCs w:val="20"/>
        </w:rPr>
      </w:pPr>
    </w:p>
    <w:p w14:paraId="4FB189BA" w14:textId="3E77D0DE" w:rsidR="00D55D8E" w:rsidRDefault="00D55D8E" w:rsidP="001A1A4B">
      <w:pPr>
        <w:pStyle w:val="Default"/>
        <w:jc w:val="both"/>
        <w:rPr>
          <w:color w:val="auto"/>
          <w:sz w:val="20"/>
          <w:szCs w:val="20"/>
        </w:rPr>
      </w:pPr>
      <w:r>
        <w:rPr>
          <w:sz w:val="20"/>
          <w:szCs w:val="20"/>
        </w:rPr>
        <w:t>Garrison (2000) analisa a evolução da Educação a Distância (</w:t>
      </w:r>
      <w:proofErr w:type="spellStart"/>
      <w:r>
        <w:rPr>
          <w:sz w:val="20"/>
          <w:szCs w:val="20"/>
        </w:rPr>
        <w:t>EaD</w:t>
      </w:r>
      <w:proofErr w:type="spellEnd"/>
      <w:r>
        <w:rPr>
          <w:sz w:val="20"/>
          <w:szCs w:val="20"/>
        </w:rPr>
        <w:t xml:space="preserve">), destacando a necessidade de uma transição das questões estruturais para as transacionais. Argumenta que a </w:t>
      </w:r>
      <w:proofErr w:type="spellStart"/>
      <w:r>
        <w:rPr>
          <w:sz w:val="20"/>
          <w:szCs w:val="20"/>
        </w:rPr>
        <w:t>EaD</w:t>
      </w:r>
      <w:proofErr w:type="spellEnd"/>
      <w:r>
        <w:rPr>
          <w:sz w:val="20"/>
          <w:szCs w:val="20"/>
        </w:rPr>
        <w:t xml:space="preserve"> deve ir além da mera disponibilidade tecnológica e concentrar-se na qualidade das interações e na construção do conhecimento pelos alunos. A aprendizagem eficaz nesse contexto exige um modelo teórico mais sofisticado, que considere a natureza das interações, o ambiente educacional e as necessidades dos estudantes. O autor destaca a importância do modelo da Comunidade de Inquirição, sublinhando que a </w:t>
      </w:r>
      <w:proofErr w:type="spellStart"/>
      <w:r>
        <w:rPr>
          <w:sz w:val="20"/>
          <w:szCs w:val="20"/>
        </w:rPr>
        <w:t>EaD</w:t>
      </w:r>
      <w:proofErr w:type="spellEnd"/>
      <w:r>
        <w:rPr>
          <w:sz w:val="20"/>
          <w:szCs w:val="20"/>
        </w:rPr>
        <w:t xml:space="preserve"> não pode limitar-se a desafios logísticos e tecnológicos, mas deve focar-se no envolvimento dos alunos, na interação significativa e na colaboração para a construção do conhecimento. Para que a educação a distância acompanhe as inovações tecnológicas, é essencial uma revisão das suas práticas, garantindo que as ferramentas digitais sejam utilizadas para enriquecer a experiência educativa. Assim, Garrison defende que o sucesso da </w:t>
      </w:r>
      <w:proofErr w:type="spellStart"/>
      <w:r>
        <w:rPr>
          <w:sz w:val="20"/>
          <w:szCs w:val="20"/>
        </w:rPr>
        <w:t>EaD</w:t>
      </w:r>
      <w:proofErr w:type="spellEnd"/>
      <w:r>
        <w:rPr>
          <w:sz w:val="20"/>
          <w:szCs w:val="20"/>
        </w:rPr>
        <w:t xml:space="preserve"> no século XXI dependerá de um equilíbrio entre fatores estruturais e transacionais, enfatizando que a eficácia do ensino não se resume ao acesso </w:t>
      </w:r>
      <w:r>
        <w:rPr>
          <w:color w:val="auto"/>
          <w:sz w:val="20"/>
          <w:szCs w:val="20"/>
        </w:rPr>
        <w:t xml:space="preserve">à tecnologia, mas à forma como </w:t>
      </w:r>
      <w:proofErr w:type="spellStart"/>
      <w:r>
        <w:rPr>
          <w:color w:val="auto"/>
          <w:sz w:val="20"/>
          <w:szCs w:val="20"/>
        </w:rPr>
        <w:t>esta</w:t>
      </w:r>
      <w:proofErr w:type="spellEnd"/>
      <w:r>
        <w:rPr>
          <w:color w:val="auto"/>
          <w:sz w:val="20"/>
          <w:szCs w:val="20"/>
        </w:rPr>
        <w:t xml:space="preserve"> é aplicada para fomentar a aprendizagem ativa e colaborativa. O artigo promove uma reflexão sobre a necessidade de transformar a </w:t>
      </w:r>
      <w:proofErr w:type="spellStart"/>
      <w:r>
        <w:rPr>
          <w:color w:val="auto"/>
          <w:sz w:val="20"/>
          <w:szCs w:val="20"/>
        </w:rPr>
        <w:t>EaD</w:t>
      </w:r>
      <w:proofErr w:type="spellEnd"/>
      <w:r>
        <w:rPr>
          <w:color w:val="auto"/>
          <w:sz w:val="20"/>
          <w:szCs w:val="20"/>
        </w:rPr>
        <w:t xml:space="preserve"> num processo mais dinâmico e interativo, exigindo abordagens pedagógicas inovadoras que maximizem o potencial das tecnologias digitais. </w:t>
      </w:r>
    </w:p>
    <w:p w14:paraId="02C0510E" w14:textId="77777777" w:rsidR="001A1A4B" w:rsidRDefault="001A1A4B" w:rsidP="001A1A4B">
      <w:pPr>
        <w:pStyle w:val="Default"/>
        <w:jc w:val="both"/>
        <w:rPr>
          <w:color w:val="auto"/>
          <w:sz w:val="20"/>
          <w:szCs w:val="20"/>
        </w:rPr>
      </w:pPr>
    </w:p>
    <w:p w14:paraId="68FD71D2" w14:textId="77777777" w:rsidR="00D55D8E" w:rsidRDefault="00D55D8E" w:rsidP="00D55D8E">
      <w:pPr>
        <w:pStyle w:val="Default"/>
        <w:jc w:val="both"/>
        <w:rPr>
          <w:color w:val="0000FF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Garrison, D. R., &amp; </w:t>
      </w:r>
      <w:proofErr w:type="spellStart"/>
      <w:r>
        <w:rPr>
          <w:b/>
          <w:bCs/>
          <w:color w:val="auto"/>
          <w:sz w:val="20"/>
          <w:szCs w:val="20"/>
        </w:rPr>
        <w:t>Arbaugh</w:t>
      </w:r>
      <w:proofErr w:type="spellEnd"/>
      <w:r>
        <w:rPr>
          <w:b/>
          <w:bCs/>
          <w:color w:val="auto"/>
          <w:sz w:val="20"/>
          <w:szCs w:val="20"/>
        </w:rPr>
        <w:t xml:space="preserve">, J. B. (2007). 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Researching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the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 xml:space="preserve"> Community 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of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Inquiry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 xml:space="preserve"> Framework: Review, 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Issues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 xml:space="preserve">, 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and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 xml:space="preserve"> Future 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Directions</w:t>
      </w:r>
      <w:proofErr w:type="spellEnd"/>
      <w:r>
        <w:rPr>
          <w:b/>
          <w:bCs/>
          <w:color w:val="auto"/>
          <w:sz w:val="20"/>
          <w:szCs w:val="20"/>
        </w:rPr>
        <w:t xml:space="preserve">. The Internet </w:t>
      </w:r>
      <w:proofErr w:type="spellStart"/>
      <w:r>
        <w:rPr>
          <w:b/>
          <w:bCs/>
          <w:color w:val="auto"/>
          <w:sz w:val="20"/>
          <w:szCs w:val="20"/>
        </w:rPr>
        <w:t>and</w:t>
      </w:r>
      <w:proofErr w:type="spellEnd"/>
      <w:r>
        <w:rPr>
          <w:b/>
          <w:bCs/>
          <w:color w:val="auto"/>
          <w:sz w:val="20"/>
          <w:szCs w:val="20"/>
        </w:rPr>
        <w:t xml:space="preserve"> </w:t>
      </w:r>
      <w:proofErr w:type="spellStart"/>
      <w:r>
        <w:rPr>
          <w:b/>
          <w:bCs/>
          <w:color w:val="auto"/>
          <w:sz w:val="20"/>
          <w:szCs w:val="20"/>
        </w:rPr>
        <w:t>Higher</w:t>
      </w:r>
      <w:proofErr w:type="spellEnd"/>
      <w:r>
        <w:rPr>
          <w:b/>
          <w:bCs/>
          <w:color w:val="auto"/>
          <w:sz w:val="20"/>
          <w:szCs w:val="20"/>
        </w:rPr>
        <w:t xml:space="preserve"> </w:t>
      </w:r>
      <w:proofErr w:type="spellStart"/>
      <w:r>
        <w:rPr>
          <w:b/>
          <w:bCs/>
          <w:color w:val="auto"/>
          <w:sz w:val="20"/>
          <w:szCs w:val="20"/>
        </w:rPr>
        <w:t>Education</w:t>
      </w:r>
      <w:proofErr w:type="spellEnd"/>
      <w:r>
        <w:rPr>
          <w:b/>
          <w:bCs/>
          <w:color w:val="auto"/>
          <w:sz w:val="20"/>
          <w:szCs w:val="20"/>
        </w:rPr>
        <w:t>, 10(3), 157–172.</w:t>
      </w:r>
      <w:r>
        <w:rPr>
          <w:color w:val="0000FF"/>
          <w:sz w:val="20"/>
          <w:szCs w:val="20"/>
        </w:rPr>
        <w:t xml:space="preserve">https://www.researchgate.net/publication/248540829_Researching_the_community_of_inquiry_framework_Review_issues_and_future_directions </w:t>
      </w:r>
    </w:p>
    <w:p w14:paraId="5E04698B" w14:textId="77777777" w:rsidR="00D55D8E" w:rsidRDefault="00D55D8E" w:rsidP="00D55D8E">
      <w:pPr>
        <w:pStyle w:val="Default"/>
        <w:jc w:val="both"/>
        <w:rPr>
          <w:color w:val="0000FF"/>
          <w:sz w:val="20"/>
          <w:szCs w:val="20"/>
        </w:rPr>
      </w:pPr>
    </w:p>
    <w:p w14:paraId="6A51D4AE" w14:textId="77777777" w:rsidR="00D55D8E" w:rsidRDefault="00D55D8E" w:rsidP="00D55D8E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O presente artigo analisa os impactos da implementação de diversas tecnologias digitais no ensino e na aprendizagem, com especial enfoque na sua influência no envolvimento dos estudantes e na promoção da aprendizagem colaborativa. A investigação desenvolvida pelos autores apresenta uma revisão abrangente da literatura sobre a Comunidade de Inquirição, a qual se estrutura em três dimensões fundamentais: presença cognitiva, presença social e presença de ensino. Explora-se a inter-relação entre esses elementos e a sua relevância para a construção de experiências educacionais significativas e colaborativas, discutindo-se ainda as suas implicações e apontando direções para futuras investigações. Os autores apresentam uma análise teórica aprofundada, identificando aspetos essenciais em que a Comunidade de Inquirição assume um papel determinante. Adicionalmente, evidenciam as limitações associadas à avaliação das interações dentro das comunidades de aprendizagem. O artigo revela-se particularmente pertinente para o avanço dos estudos em educação digital, ao sugerir a necessidade de explorar a interdependência entre as diferentes presenças e os efeitos das tecnologias no processo de aprendizagem online. A compreensão da dinâmica entre os elementos centrais da Comunidade de Inquirição revela-se fundamental. A presença social estabelece as bases para a interação e o discurso, a presença de ensino estrutura e orienta o processo de aprendizagem e a presença cognitiva manifesta-se quando os estudantes se envolvem ativamente num processo de inquirição. A criação de um ambiente que favoreça a comunicação aberta e a coesão do grupo constitui um fator essencial. Assim, este estudo contribui significativamente para o aprofundamento da investigação sobre ensino online e aprendizagem colaborativa, fornecendo um referencial sólido para futuras pesquisas acerca do impacto das diferentes presenças na aprendizagem online. </w:t>
      </w:r>
    </w:p>
    <w:p w14:paraId="60591996" w14:textId="77777777" w:rsidR="00D55D8E" w:rsidRDefault="00D55D8E" w:rsidP="00D55D8E">
      <w:pPr>
        <w:pStyle w:val="Default"/>
        <w:rPr>
          <w:sz w:val="20"/>
          <w:szCs w:val="20"/>
        </w:rPr>
      </w:pPr>
    </w:p>
    <w:p w14:paraId="1A3428D1" w14:textId="77777777" w:rsidR="001A1A4B" w:rsidRDefault="001A1A4B" w:rsidP="00D55D8E">
      <w:pPr>
        <w:pStyle w:val="Default"/>
        <w:jc w:val="both"/>
        <w:rPr>
          <w:b/>
          <w:bCs/>
          <w:sz w:val="20"/>
          <w:szCs w:val="20"/>
        </w:rPr>
      </w:pPr>
    </w:p>
    <w:p w14:paraId="7B25CEF6" w14:textId="77777777" w:rsidR="001A1A4B" w:rsidRDefault="001A1A4B" w:rsidP="00D55D8E">
      <w:pPr>
        <w:pStyle w:val="Default"/>
        <w:jc w:val="both"/>
        <w:rPr>
          <w:b/>
          <w:bCs/>
          <w:sz w:val="20"/>
          <w:szCs w:val="20"/>
        </w:rPr>
      </w:pPr>
    </w:p>
    <w:p w14:paraId="2B2C83E5" w14:textId="77777777" w:rsidR="001A1A4B" w:rsidRDefault="001A1A4B" w:rsidP="00D55D8E">
      <w:pPr>
        <w:pStyle w:val="Default"/>
        <w:jc w:val="both"/>
        <w:rPr>
          <w:b/>
          <w:bCs/>
          <w:sz w:val="20"/>
          <w:szCs w:val="20"/>
        </w:rPr>
      </w:pPr>
    </w:p>
    <w:p w14:paraId="7703AF34" w14:textId="77777777" w:rsidR="001A1A4B" w:rsidRDefault="001A1A4B" w:rsidP="00D55D8E">
      <w:pPr>
        <w:pStyle w:val="Default"/>
        <w:jc w:val="both"/>
        <w:rPr>
          <w:b/>
          <w:bCs/>
          <w:sz w:val="20"/>
          <w:szCs w:val="20"/>
        </w:rPr>
      </w:pPr>
    </w:p>
    <w:p w14:paraId="3F457997" w14:textId="77777777" w:rsidR="001A1A4B" w:rsidRDefault="001A1A4B" w:rsidP="00D55D8E">
      <w:pPr>
        <w:pStyle w:val="Default"/>
        <w:jc w:val="both"/>
        <w:rPr>
          <w:b/>
          <w:bCs/>
          <w:sz w:val="20"/>
          <w:szCs w:val="20"/>
        </w:rPr>
      </w:pPr>
    </w:p>
    <w:p w14:paraId="77376C7E" w14:textId="77777777" w:rsidR="001A1A4B" w:rsidRDefault="001A1A4B" w:rsidP="00D55D8E">
      <w:pPr>
        <w:pStyle w:val="Default"/>
        <w:jc w:val="both"/>
        <w:rPr>
          <w:b/>
          <w:bCs/>
          <w:sz w:val="20"/>
          <w:szCs w:val="20"/>
        </w:rPr>
      </w:pPr>
    </w:p>
    <w:p w14:paraId="55376B6E" w14:textId="244A0A1F" w:rsidR="00D55D8E" w:rsidRDefault="00D55D8E" w:rsidP="00D55D8E">
      <w:pPr>
        <w:pStyle w:val="Default"/>
        <w:jc w:val="both"/>
        <w:rPr>
          <w:color w:val="0000FF"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 xml:space="preserve">Moore, M. G. (1989). </w:t>
      </w:r>
      <w:proofErr w:type="spellStart"/>
      <w:r>
        <w:rPr>
          <w:b/>
          <w:bCs/>
          <w:i/>
          <w:iCs/>
          <w:sz w:val="20"/>
          <w:szCs w:val="20"/>
        </w:rPr>
        <w:t>Three</w:t>
      </w:r>
      <w:proofErr w:type="spellEnd"/>
      <w:r>
        <w:rPr>
          <w:b/>
          <w:bCs/>
          <w:i/>
          <w:iCs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sz w:val="20"/>
          <w:szCs w:val="20"/>
        </w:rPr>
        <w:t>types</w:t>
      </w:r>
      <w:proofErr w:type="spellEnd"/>
      <w:r>
        <w:rPr>
          <w:b/>
          <w:bCs/>
          <w:i/>
          <w:iCs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sz w:val="20"/>
          <w:szCs w:val="20"/>
        </w:rPr>
        <w:t>of</w:t>
      </w:r>
      <w:proofErr w:type="spellEnd"/>
      <w:r>
        <w:rPr>
          <w:b/>
          <w:bCs/>
          <w:i/>
          <w:iCs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sz w:val="20"/>
          <w:szCs w:val="20"/>
        </w:rPr>
        <w:t>interaction</w:t>
      </w:r>
      <w:proofErr w:type="spellEnd"/>
      <w:r>
        <w:rPr>
          <w:b/>
          <w:bCs/>
          <w:sz w:val="20"/>
          <w:szCs w:val="20"/>
        </w:rPr>
        <w:t xml:space="preserve">. In M. G. Moore &amp; G. </w:t>
      </w:r>
      <w:proofErr w:type="spellStart"/>
      <w:r>
        <w:rPr>
          <w:b/>
          <w:bCs/>
          <w:sz w:val="20"/>
          <w:szCs w:val="20"/>
        </w:rPr>
        <w:t>Kearsley</w:t>
      </w:r>
      <w:proofErr w:type="spellEnd"/>
      <w:r>
        <w:rPr>
          <w:b/>
          <w:bCs/>
          <w:sz w:val="20"/>
          <w:szCs w:val="20"/>
        </w:rPr>
        <w:t xml:space="preserve"> (Eds.), Distance </w:t>
      </w:r>
      <w:proofErr w:type="spellStart"/>
      <w:r>
        <w:rPr>
          <w:b/>
          <w:bCs/>
          <w:sz w:val="20"/>
          <w:szCs w:val="20"/>
        </w:rPr>
        <w:t>education</w:t>
      </w:r>
      <w:proofErr w:type="spellEnd"/>
      <w:r>
        <w:rPr>
          <w:b/>
          <w:bCs/>
          <w:sz w:val="20"/>
          <w:szCs w:val="20"/>
        </w:rPr>
        <w:t xml:space="preserve">: A systems </w:t>
      </w:r>
      <w:proofErr w:type="spellStart"/>
      <w:r>
        <w:rPr>
          <w:b/>
          <w:bCs/>
          <w:sz w:val="20"/>
          <w:szCs w:val="20"/>
        </w:rPr>
        <w:t>view</w:t>
      </w:r>
      <w:proofErr w:type="spellEnd"/>
      <w:r>
        <w:rPr>
          <w:b/>
          <w:bCs/>
          <w:sz w:val="20"/>
          <w:szCs w:val="20"/>
        </w:rPr>
        <w:t xml:space="preserve"> (pp. 52-61). </w:t>
      </w:r>
      <w:proofErr w:type="spellStart"/>
      <w:r>
        <w:rPr>
          <w:b/>
          <w:bCs/>
          <w:sz w:val="20"/>
          <w:szCs w:val="20"/>
        </w:rPr>
        <w:t>Wadsworth</w:t>
      </w:r>
      <w:proofErr w:type="spellEnd"/>
      <w:r>
        <w:rPr>
          <w:b/>
          <w:bCs/>
          <w:sz w:val="20"/>
          <w:szCs w:val="20"/>
        </w:rPr>
        <w:t xml:space="preserve"> </w:t>
      </w:r>
      <w:proofErr w:type="spellStart"/>
      <w:r>
        <w:rPr>
          <w:b/>
          <w:bCs/>
          <w:sz w:val="20"/>
          <w:szCs w:val="20"/>
        </w:rPr>
        <w:t>Publishing</w:t>
      </w:r>
      <w:proofErr w:type="spellEnd"/>
      <w:r>
        <w:rPr>
          <w:b/>
          <w:bCs/>
          <w:sz w:val="20"/>
          <w:szCs w:val="20"/>
        </w:rPr>
        <w:t xml:space="preserve">. </w:t>
      </w:r>
      <w:hyperlink r:id="rId8" w:history="1">
        <w:r w:rsidRPr="00EC092B">
          <w:rPr>
            <w:rStyle w:val="Hyperlink"/>
            <w:sz w:val="20"/>
            <w:szCs w:val="20"/>
          </w:rPr>
          <w:t>https://eddl.tru.ca/wp-content/uploads/2019/08/EDDL5101_W9_Moore_1989.pdf</w:t>
        </w:r>
      </w:hyperlink>
      <w:r>
        <w:rPr>
          <w:color w:val="0000FF"/>
          <w:sz w:val="20"/>
          <w:szCs w:val="20"/>
        </w:rPr>
        <w:t xml:space="preserve"> </w:t>
      </w:r>
    </w:p>
    <w:p w14:paraId="4A212FEE" w14:textId="77777777" w:rsidR="00D55D8E" w:rsidRDefault="00D55D8E" w:rsidP="00D55D8E">
      <w:pPr>
        <w:pStyle w:val="Default"/>
        <w:jc w:val="both"/>
        <w:rPr>
          <w:color w:val="0000FF"/>
          <w:sz w:val="20"/>
          <w:szCs w:val="20"/>
        </w:rPr>
      </w:pPr>
    </w:p>
    <w:p w14:paraId="7638968C" w14:textId="77777777" w:rsidR="00D55D8E" w:rsidRDefault="00D55D8E" w:rsidP="00D55D8E">
      <w:pPr>
        <w:pStyle w:val="Default"/>
        <w:jc w:val="both"/>
        <w:rPr>
          <w:color w:val="auto"/>
          <w:sz w:val="20"/>
          <w:szCs w:val="20"/>
        </w:rPr>
      </w:pPr>
      <w:r>
        <w:rPr>
          <w:sz w:val="20"/>
          <w:szCs w:val="20"/>
        </w:rPr>
        <w:t xml:space="preserve">No artigo </w:t>
      </w:r>
      <w:proofErr w:type="spellStart"/>
      <w:r>
        <w:rPr>
          <w:sz w:val="20"/>
          <w:szCs w:val="20"/>
        </w:rPr>
        <w:t>Three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Types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Interaction</w:t>
      </w:r>
      <w:proofErr w:type="spellEnd"/>
      <w:r>
        <w:rPr>
          <w:sz w:val="20"/>
          <w:szCs w:val="20"/>
        </w:rPr>
        <w:t xml:space="preserve"> (1989), Moore discute os três tipos de interação essenciais para a eficácia da Educação a Distância (</w:t>
      </w:r>
      <w:proofErr w:type="spellStart"/>
      <w:r>
        <w:rPr>
          <w:sz w:val="20"/>
          <w:szCs w:val="20"/>
        </w:rPr>
        <w:t>EaD</w:t>
      </w:r>
      <w:proofErr w:type="spellEnd"/>
      <w:r>
        <w:rPr>
          <w:sz w:val="20"/>
          <w:szCs w:val="20"/>
        </w:rPr>
        <w:t xml:space="preserve">): interação aluno-professor, aluno-aluno e aluno-conteúdo. O autor enfatiza a importância de uma organização eficiente da aprendizagem para garantir a eficácia dessas interações e, por conseguinte, o sucesso do processo educativo. A interação aluno-professor é considerada um pilar central, pois envolve a comunicação direta entre os envolvidos, permitindo que o docente ofereça suporte pedagógico e feedback contínuo. Essa interação facilita o acompanhamento do progresso do aluno e a resolução de dúvidas, elementos fundamentais para o desenvolvimento de uma aprendizagem significativa. A interação aluno-aluno, por sua vez, é essencial para a criação de uma comunidade de aprendizagem colaborativa, onde o intercâmbio de ideias e a troca de experiências enriquecem o processo educativo, estimulando o pensamento crítico e a construção conjunta do conhecimento. Já a interação aluno-conteúdo refere-se ao envolvimento do aluno com o material didático, que deve ser não apenas acessível, mas também atrativo e desafiador, de modo a </w:t>
      </w:r>
      <w:r>
        <w:rPr>
          <w:color w:val="auto"/>
          <w:sz w:val="20"/>
          <w:szCs w:val="20"/>
        </w:rPr>
        <w:t xml:space="preserve">fomentar uma aprendizagem ativa, na qual o aluno se apropria do conteúdo de maneira significativa. Moore sugere que, para que a </w:t>
      </w:r>
      <w:proofErr w:type="spellStart"/>
      <w:r>
        <w:rPr>
          <w:color w:val="auto"/>
          <w:sz w:val="20"/>
          <w:szCs w:val="20"/>
        </w:rPr>
        <w:t>EaD</w:t>
      </w:r>
      <w:proofErr w:type="spellEnd"/>
      <w:r>
        <w:rPr>
          <w:color w:val="auto"/>
          <w:sz w:val="20"/>
          <w:szCs w:val="20"/>
        </w:rPr>
        <w:t xml:space="preserve"> seja eficaz, é fundamental garantir o equilíbrio dessas três interações, de forma que cada uma contribua para a criação de uma experiência de aprendizagem rica e dinâmica. A reflexão proposta pelo autor leva a considerar as práticas pedagógicas no ensino a distância, destacando a necessidade de uma análise cuidadosa das especificidades culturais e das inovações tecnológicas das plataformas digitais, que devem ser pensadas de forma a potencializar a interconexão entre alunos, professores e o conteúdo, ajustando-se às novas demandas da educação globalizada e digital. </w:t>
      </w:r>
    </w:p>
    <w:p w14:paraId="73F477EF" w14:textId="77777777" w:rsidR="00D55D8E" w:rsidRDefault="00D55D8E" w:rsidP="00D55D8E">
      <w:pPr>
        <w:pStyle w:val="Default"/>
        <w:rPr>
          <w:b/>
          <w:bCs/>
          <w:color w:val="auto"/>
          <w:sz w:val="20"/>
          <w:szCs w:val="20"/>
        </w:rPr>
      </w:pPr>
    </w:p>
    <w:p w14:paraId="5DC62D7F" w14:textId="77777777" w:rsidR="00D55D8E" w:rsidRDefault="00D55D8E" w:rsidP="00D55D8E">
      <w:pPr>
        <w:pStyle w:val="Default"/>
        <w:jc w:val="both"/>
        <w:rPr>
          <w:b/>
          <w:bCs/>
          <w:color w:val="auto"/>
          <w:sz w:val="20"/>
          <w:szCs w:val="20"/>
        </w:rPr>
      </w:pPr>
    </w:p>
    <w:p w14:paraId="16CC4FBC" w14:textId="77777777" w:rsidR="00D55D8E" w:rsidRDefault="00D55D8E" w:rsidP="00D55D8E">
      <w:pPr>
        <w:pStyle w:val="Default"/>
        <w:jc w:val="both"/>
        <w:rPr>
          <w:color w:val="0000FF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Moore, M. G. (2018). </w:t>
      </w:r>
      <w:r>
        <w:rPr>
          <w:b/>
          <w:bCs/>
          <w:i/>
          <w:iCs/>
          <w:color w:val="auto"/>
          <w:sz w:val="20"/>
          <w:szCs w:val="20"/>
        </w:rPr>
        <w:t xml:space="preserve">The 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theory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of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transactional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distance</w:t>
      </w:r>
      <w:proofErr w:type="spellEnd"/>
      <w:r>
        <w:rPr>
          <w:b/>
          <w:bCs/>
          <w:color w:val="auto"/>
          <w:sz w:val="20"/>
          <w:szCs w:val="20"/>
        </w:rPr>
        <w:t xml:space="preserve">. In C. J. </w:t>
      </w:r>
      <w:proofErr w:type="spellStart"/>
      <w:r>
        <w:rPr>
          <w:b/>
          <w:bCs/>
          <w:color w:val="auto"/>
          <w:sz w:val="20"/>
          <w:szCs w:val="20"/>
        </w:rPr>
        <w:t>Bonk</w:t>
      </w:r>
      <w:proofErr w:type="spellEnd"/>
      <w:r>
        <w:rPr>
          <w:b/>
          <w:bCs/>
          <w:color w:val="auto"/>
          <w:sz w:val="20"/>
          <w:szCs w:val="20"/>
        </w:rPr>
        <w:t xml:space="preserve">, M. S. G. </w:t>
      </w:r>
      <w:proofErr w:type="spellStart"/>
      <w:r>
        <w:rPr>
          <w:b/>
          <w:bCs/>
          <w:color w:val="auto"/>
          <w:sz w:val="20"/>
          <w:szCs w:val="20"/>
        </w:rPr>
        <w:t>Simonson</w:t>
      </w:r>
      <w:proofErr w:type="spellEnd"/>
      <w:r>
        <w:rPr>
          <w:b/>
          <w:bCs/>
          <w:color w:val="auto"/>
          <w:sz w:val="20"/>
          <w:szCs w:val="20"/>
        </w:rPr>
        <w:t xml:space="preserve">, &amp; C. L. Hanson (Eds.), Handbook </w:t>
      </w:r>
      <w:proofErr w:type="spellStart"/>
      <w:r>
        <w:rPr>
          <w:b/>
          <w:bCs/>
          <w:color w:val="auto"/>
          <w:sz w:val="20"/>
          <w:szCs w:val="20"/>
        </w:rPr>
        <w:t>of</w:t>
      </w:r>
      <w:proofErr w:type="spellEnd"/>
      <w:r>
        <w:rPr>
          <w:b/>
          <w:bCs/>
          <w:color w:val="auto"/>
          <w:sz w:val="20"/>
          <w:szCs w:val="20"/>
        </w:rPr>
        <w:t xml:space="preserve"> </w:t>
      </w:r>
      <w:proofErr w:type="spellStart"/>
      <w:r>
        <w:rPr>
          <w:b/>
          <w:bCs/>
          <w:color w:val="auto"/>
          <w:sz w:val="20"/>
          <w:szCs w:val="20"/>
        </w:rPr>
        <w:t>distance</w:t>
      </w:r>
      <w:proofErr w:type="spellEnd"/>
      <w:r>
        <w:rPr>
          <w:b/>
          <w:bCs/>
          <w:color w:val="auto"/>
          <w:sz w:val="20"/>
          <w:szCs w:val="20"/>
        </w:rPr>
        <w:t xml:space="preserve"> </w:t>
      </w:r>
      <w:proofErr w:type="spellStart"/>
      <w:r>
        <w:rPr>
          <w:b/>
          <w:bCs/>
          <w:color w:val="auto"/>
          <w:sz w:val="20"/>
          <w:szCs w:val="20"/>
        </w:rPr>
        <w:t>education</w:t>
      </w:r>
      <w:proofErr w:type="spellEnd"/>
      <w:r>
        <w:rPr>
          <w:b/>
          <w:bCs/>
          <w:color w:val="auto"/>
          <w:sz w:val="20"/>
          <w:szCs w:val="20"/>
        </w:rPr>
        <w:t xml:space="preserve"> (pp. 70-80). Routledge.</w:t>
      </w:r>
      <w:r>
        <w:rPr>
          <w:b/>
          <w:bCs/>
          <w:color w:val="0000FF"/>
          <w:sz w:val="20"/>
          <w:szCs w:val="20"/>
        </w:rPr>
        <w:t xml:space="preserve">https://www.researchgate.net/publication/262488021_The_Theory_of_Transactional_Distance </w:t>
      </w:r>
    </w:p>
    <w:p w14:paraId="371B96AB" w14:textId="77777777" w:rsidR="00D55D8E" w:rsidRDefault="00D55D8E" w:rsidP="00D55D8E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O artigo de Moore (2018) explora a Teoria da Distância Transacional, uma abordagem fundamental para entender a interação entre alunos, professores e conteúdo no contexto da educação a distância. A teoria propõe que a distância não se limita apenas à distância geográfica, mas também abrange uma dimensão pedagógica e psicológica. A distância transacional é determinada por três fatores principais: o diálogo, a estrutura do curso e o grau de autonomia do aluno. Moore argumenta que a eficácia do ensino à distância depende da qualidade e da frequência do diálogo entre os participantes, da flexibilidade da estrutura do curso e da capacidade do aluno de gerir seu próprio processo de aprendizagem. A teoria sublinha a importância de um ambiente de aprendizagem que favoreça a comunicação e a flexibilidade, permitindo aos alunos uma maior autonomia e, consequentemente, uma aprendizagem mais eficaz. </w:t>
      </w:r>
    </w:p>
    <w:p w14:paraId="387000E1" w14:textId="77777777" w:rsidR="00D55D8E" w:rsidRDefault="00D55D8E" w:rsidP="00D55D8E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O trabalho de Moore é crucial para pesquisadores e profissionais da educação a distância, pois fornece uma base teórica sólida para compreender os fatores que influenciam a experiência dos alunos. A categorização dos cursos de acordo com sua estrutura e o nível de diálogo entre aluno e professor oferece uma visão clara para os educadores ajustarem suas metodologias de ensino, adaptando-as às necessidades e ao grau de autonomia de seus alunos. Este conceito adquire relevância particular no contexto atual, com o avanço das tecnologias digitais, que oferecem novas oportunidades para diminuir a distância transacional, por meio da interatividade e do fácil acesso a recursos educacionais. </w:t>
      </w:r>
    </w:p>
    <w:p w14:paraId="3BDE7AA6" w14:textId="77777777" w:rsidR="00D55D8E" w:rsidRDefault="00D55D8E" w:rsidP="00D55D8E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Teoria da Distância Transacional permanece um dos principais referenciais na conceção e avaliação de programas de ensino a distância. Compreender a interação entre estrutura, diálogo e autonomia permite melhorar a qualidade do ensino mediado por tecnologias. O texto de Moore ressalta a importância de envolver ativamente os alunos no processo de aprendizagem, de modo a minimizar os desafios associados ao ensino a distância. O conceito de distância transacional tem implicações significativas, especialmente no contexto do e-learning, ao sugerir que as plataformas digitais podem reduzir essa distância, promovendo maior interação e personalização da aprendizagem. No entanto, é essencial garantir que os alunos desenvolvam habilidades de autonomia e autoaprendizagem para tirar o máximo proveito dos recursos tecnológicos disponíveis. </w:t>
      </w:r>
    </w:p>
    <w:p w14:paraId="61141402" w14:textId="77777777" w:rsidR="00D55D8E" w:rsidRDefault="00D55D8E" w:rsidP="00D55D8E">
      <w:pPr>
        <w:pStyle w:val="Default"/>
        <w:jc w:val="both"/>
        <w:rPr>
          <w:sz w:val="20"/>
          <w:szCs w:val="20"/>
        </w:rPr>
      </w:pPr>
    </w:p>
    <w:p w14:paraId="5A508B88" w14:textId="77777777" w:rsidR="00D55D8E" w:rsidRDefault="00D55D8E" w:rsidP="00D55D8E">
      <w:pPr>
        <w:pStyle w:val="Default"/>
        <w:jc w:val="both"/>
        <w:rPr>
          <w:color w:val="0000FF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Moore, M. (1997). 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Theory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of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transactional</w:t>
      </w:r>
      <w:proofErr w:type="spellEnd"/>
      <w:r>
        <w:rPr>
          <w:b/>
          <w:bCs/>
          <w:i/>
          <w:iCs/>
          <w:color w:val="auto"/>
          <w:sz w:val="20"/>
          <w:szCs w:val="20"/>
        </w:rPr>
        <w:t xml:space="preserve"> </w:t>
      </w:r>
      <w:proofErr w:type="spellStart"/>
      <w:r>
        <w:rPr>
          <w:b/>
          <w:bCs/>
          <w:i/>
          <w:iCs/>
          <w:color w:val="auto"/>
          <w:sz w:val="20"/>
          <w:szCs w:val="20"/>
        </w:rPr>
        <w:t>distance</w:t>
      </w:r>
      <w:proofErr w:type="spellEnd"/>
      <w:r>
        <w:rPr>
          <w:b/>
          <w:bCs/>
          <w:color w:val="auto"/>
          <w:sz w:val="20"/>
          <w:szCs w:val="20"/>
        </w:rPr>
        <w:t xml:space="preserve">, in: Keegan, D. (1997) (Ed). </w:t>
      </w:r>
      <w:proofErr w:type="spellStart"/>
      <w:r>
        <w:rPr>
          <w:b/>
          <w:bCs/>
          <w:color w:val="auto"/>
          <w:sz w:val="20"/>
          <w:szCs w:val="20"/>
        </w:rPr>
        <w:t>Theoretical</w:t>
      </w:r>
      <w:proofErr w:type="spellEnd"/>
      <w:r>
        <w:rPr>
          <w:b/>
          <w:bCs/>
          <w:color w:val="auto"/>
          <w:sz w:val="20"/>
          <w:szCs w:val="20"/>
        </w:rPr>
        <w:t xml:space="preserve"> </w:t>
      </w:r>
      <w:proofErr w:type="spellStart"/>
      <w:r>
        <w:rPr>
          <w:b/>
          <w:bCs/>
          <w:color w:val="auto"/>
          <w:sz w:val="20"/>
          <w:szCs w:val="20"/>
        </w:rPr>
        <w:t>Principles</w:t>
      </w:r>
      <w:proofErr w:type="spellEnd"/>
      <w:r>
        <w:rPr>
          <w:b/>
          <w:bCs/>
          <w:color w:val="auto"/>
          <w:sz w:val="20"/>
          <w:szCs w:val="20"/>
        </w:rPr>
        <w:t xml:space="preserve"> </w:t>
      </w:r>
      <w:proofErr w:type="spellStart"/>
      <w:r>
        <w:rPr>
          <w:b/>
          <w:bCs/>
          <w:color w:val="auto"/>
          <w:sz w:val="20"/>
          <w:szCs w:val="20"/>
        </w:rPr>
        <w:t>of</w:t>
      </w:r>
      <w:proofErr w:type="spellEnd"/>
      <w:r>
        <w:rPr>
          <w:b/>
          <w:bCs/>
          <w:color w:val="auto"/>
          <w:sz w:val="20"/>
          <w:szCs w:val="20"/>
        </w:rPr>
        <w:t xml:space="preserve"> Distance </w:t>
      </w:r>
      <w:proofErr w:type="spellStart"/>
      <w:r>
        <w:rPr>
          <w:b/>
          <w:bCs/>
          <w:color w:val="auto"/>
          <w:sz w:val="20"/>
          <w:szCs w:val="20"/>
        </w:rPr>
        <w:t>Education</w:t>
      </w:r>
      <w:proofErr w:type="spellEnd"/>
      <w:r>
        <w:rPr>
          <w:b/>
          <w:bCs/>
          <w:color w:val="auto"/>
          <w:sz w:val="20"/>
          <w:szCs w:val="20"/>
        </w:rPr>
        <w:t xml:space="preserve"> (pp. 22-38), London: </w:t>
      </w:r>
      <w:proofErr w:type="spellStart"/>
      <w:r>
        <w:rPr>
          <w:b/>
          <w:bCs/>
          <w:color w:val="auto"/>
          <w:sz w:val="20"/>
          <w:szCs w:val="20"/>
        </w:rPr>
        <w:t>Routledge</w:t>
      </w:r>
      <w:proofErr w:type="spellEnd"/>
      <w:r>
        <w:rPr>
          <w:b/>
          <w:bCs/>
          <w:color w:val="auto"/>
          <w:sz w:val="20"/>
          <w:szCs w:val="20"/>
        </w:rPr>
        <w:t xml:space="preserve">. Versão traduzida: </w:t>
      </w:r>
      <w:hyperlink r:id="rId9" w:history="1">
        <w:r w:rsidRPr="00EC092B">
          <w:rPr>
            <w:rStyle w:val="Hyperlink"/>
            <w:sz w:val="20"/>
            <w:szCs w:val="20"/>
          </w:rPr>
          <w:t>https://www.abed.org.br/revistacientifica/Revista_PDF_Doc/2002_Teoria_Distancia_Transacional_Michael_Moore.pdf</w:t>
        </w:r>
      </w:hyperlink>
      <w:r>
        <w:rPr>
          <w:color w:val="0000FF"/>
          <w:sz w:val="20"/>
          <w:szCs w:val="20"/>
        </w:rPr>
        <w:t xml:space="preserve"> </w:t>
      </w:r>
    </w:p>
    <w:p w14:paraId="5F05D571" w14:textId="77777777" w:rsidR="00D55D8E" w:rsidRDefault="00D55D8E" w:rsidP="00D55D8E">
      <w:pPr>
        <w:pStyle w:val="Default"/>
        <w:jc w:val="both"/>
        <w:rPr>
          <w:color w:val="0000FF"/>
          <w:sz w:val="20"/>
          <w:szCs w:val="20"/>
        </w:rPr>
      </w:pPr>
    </w:p>
    <w:p w14:paraId="7DDA459C" w14:textId="77777777" w:rsidR="00D55D8E" w:rsidRDefault="00D55D8E" w:rsidP="00D55D8E">
      <w:pPr>
        <w:jc w:val="both"/>
      </w:pPr>
      <w:r>
        <w:rPr>
          <w:sz w:val="20"/>
          <w:szCs w:val="20"/>
        </w:rPr>
        <w:t>No presente texto, Michael G. Moore, pioneiro na pesquisa sobre Ensino a Distância (EAD), e responsável pela formulação da Teoria da Distância Transacional, apresenta sua Teoria definindo a EAD não apenas pela separação geográfica entre alunos e professores, mas, principalmente, como um conceito pedagógico. Em sua abordagem argumenta que a distância transacional é a distância psicológica e de comunicação entre alunos e professores, influenciada por três fatores principais: diálogo (interação entre alunos e professores), estrutura (rigidez ou flexibilidade do programa de ensino) e autonomia do aluno (o grau de controle que o aluno exerce sobre seu próprio aprendizado). O texto analisa como esses três fatores interagem e como diferentes meios de comunicação influenciam a distância transacional, culminando na discussão do papel das tecnologias de teleconferência em reduzir essa distância e aumentar a autonomia do aluno. Seu conteúdo é relevante para o estudo do tema pois oferece um arcabouço teórico para entender e abordar os desafios únicos desse contexto de ensino-aprendizagem. A obra contribui significativamente para a área de pesquisa ao fornecer um modelo teórico fundamental para a pesquisa em educação a distância, permitindo uma análise mais profunda dos fatores que afetam a experiência de aprendizagem e oferecendo diretrizes para o design de programas mais eficazes.</w:t>
      </w:r>
    </w:p>
    <w:p w14:paraId="0600E9CD" w14:textId="77777777" w:rsidR="00D55D8E" w:rsidRDefault="00D55D8E" w:rsidP="0047679D">
      <w:pPr>
        <w:pStyle w:val="Default"/>
        <w:rPr>
          <w:b/>
          <w:bCs/>
          <w:sz w:val="20"/>
          <w:szCs w:val="20"/>
        </w:rPr>
      </w:pPr>
    </w:p>
    <w:p w14:paraId="3FA3EAD6" w14:textId="77777777" w:rsidR="0047679D" w:rsidRDefault="0047679D" w:rsidP="0047679D">
      <w:pPr>
        <w:jc w:val="both"/>
        <w:rPr>
          <w:rFonts w:ascii="Arial" w:hAnsi="Arial" w:cs="Arial"/>
        </w:rPr>
      </w:pPr>
      <w:r w:rsidRPr="00900B4F">
        <w:rPr>
          <w:rFonts w:ascii="Arial" w:hAnsi="Arial" w:cs="Arial"/>
          <w:b/>
          <w:bCs/>
        </w:rPr>
        <w:t xml:space="preserve">Contribuição Grupo </w:t>
      </w:r>
      <w:r>
        <w:rPr>
          <w:rFonts w:ascii="Arial" w:hAnsi="Arial" w:cs="Arial"/>
          <w:b/>
          <w:bCs/>
        </w:rPr>
        <w:t>1</w:t>
      </w:r>
      <w:r w:rsidRPr="00900B4F">
        <w:rPr>
          <w:rFonts w:ascii="Arial" w:hAnsi="Arial" w:cs="Arial"/>
          <w:b/>
          <w:bCs/>
        </w:rPr>
        <w:t xml:space="preserve">: </w:t>
      </w:r>
      <w:r w:rsidRPr="00AC1C23">
        <w:rPr>
          <w:rFonts w:ascii="Arial" w:hAnsi="Arial" w:cs="Arial"/>
        </w:rPr>
        <w:t>Teoria do Estudo Independente x Teoria da Industrialização</w:t>
      </w:r>
    </w:p>
    <w:p w14:paraId="56027890" w14:textId="77F8A856" w:rsidR="006624F5" w:rsidRPr="006624F5" w:rsidRDefault="006624F5" w:rsidP="006624F5">
      <w:pPr>
        <w:pStyle w:val="PargrafodaLista"/>
        <w:numPr>
          <w:ilvl w:val="0"/>
          <w:numId w:val="5"/>
        </w:numPr>
        <w:ind w:left="709"/>
        <w:jc w:val="both"/>
        <w:rPr>
          <w:rFonts w:ascii="Arial" w:hAnsi="Arial" w:cs="Arial"/>
          <w:b/>
          <w:bCs/>
        </w:rPr>
      </w:pPr>
      <w:hyperlink r:id="rId10" w:history="1">
        <w:r w:rsidRPr="006624F5">
          <w:rPr>
            <w:rStyle w:val="Hyperlink"/>
            <w:rFonts w:ascii="Arial" w:hAnsi="Arial" w:cs="Arial"/>
            <w:b/>
            <w:bCs/>
          </w:rPr>
          <w:t>Bibliografia Anotada_Equipa1</w:t>
        </w:r>
      </w:hyperlink>
    </w:p>
    <w:p w14:paraId="08CC1EA5" w14:textId="77777777" w:rsidR="006624F5" w:rsidRDefault="006624F5" w:rsidP="0047679D">
      <w:pPr>
        <w:jc w:val="both"/>
        <w:rPr>
          <w:rFonts w:ascii="Arial" w:hAnsi="Arial" w:cs="Arial"/>
          <w:b/>
          <w:bCs/>
        </w:rPr>
      </w:pPr>
    </w:p>
    <w:p w14:paraId="3470124D" w14:textId="7513846C" w:rsidR="0047679D" w:rsidRDefault="0047679D" w:rsidP="0047679D">
      <w:pPr>
        <w:jc w:val="both"/>
        <w:rPr>
          <w:rFonts w:ascii="Arial" w:hAnsi="Arial" w:cs="Arial"/>
        </w:rPr>
      </w:pPr>
      <w:r w:rsidRPr="00900B4F">
        <w:rPr>
          <w:rFonts w:ascii="Arial" w:hAnsi="Arial" w:cs="Arial"/>
          <w:b/>
          <w:bCs/>
        </w:rPr>
        <w:t xml:space="preserve">Contribuição Grupo 2: </w:t>
      </w:r>
      <w:r w:rsidRPr="00900B4F">
        <w:rPr>
          <w:rFonts w:ascii="Arial" w:hAnsi="Arial" w:cs="Arial"/>
        </w:rPr>
        <w:t xml:space="preserve">Teoria Distância Transacional </w:t>
      </w:r>
      <w:r>
        <w:rPr>
          <w:rFonts w:ascii="Arial" w:hAnsi="Arial" w:cs="Arial"/>
        </w:rPr>
        <w:t>x</w:t>
      </w:r>
      <w:r w:rsidRPr="00900B4F">
        <w:rPr>
          <w:rFonts w:ascii="Arial" w:hAnsi="Arial" w:cs="Arial"/>
        </w:rPr>
        <w:t xml:space="preserve"> Teoria Industrialização no Ensino</w:t>
      </w:r>
    </w:p>
    <w:p w14:paraId="5C9E7655" w14:textId="20CB7ADF" w:rsidR="00554523" w:rsidRPr="00E240F2" w:rsidRDefault="00D905FB" w:rsidP="00554523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hyperlink r:id="rId11" w:history="1">
        <w:r w:rsidR="00554523" w:rsidRPr="00D905FB">
          <w:rPr>
            <w:rStyle w:val="Hyperlink"/>
            <w:rFonts w:ascii="Arial" w:hAnsi="Arial" w:cs="Arial"/>
            <w:b/>
            <w:bCs/>
          </w:rPr>
          <w:t>Bibliografia Anotada</w:t>
        </w:r>
        <w:r>
          <w:rPr>
            <w:rStyle w:val="Hyperlink"/>
            <w:rFonts w:ascii="Arial" w:hAnsi="Arial" w:cs="Arial"/>
            <w:b/>
            <w:bCs/>
          </w:rPr>
          <w:t xml:space="preserve"> </w:t>
        </w:r>
        <w:r w:rsidR="00E240F2" w:rsidRPr="00D905FB">
          <w:rPr>
            <w:rStyle w:val="Hyperlink"/>
            <w:rFonts w:ascii="Arial" w:hAnsi="Arial" w:cs="Arial"/>
            <w:b/>
            <w:bCs/>
          </w:rPr>
          <w:t>Equipa 2</w:t>
        </w:r>
      </w:hyperlink>
      <w:r w:rsidR="00554523" w:rsidRPr="00E240F2">
        <w:rPr>
          <w:rFonts w:ascii="Arial" w:hAnsi="Arial" w:cs="Arial"/>
          <w:b/>
          <w:bCs/>
        </w:rPr>
        <w:t xml:space="preserve"> </w:t>
      </w:r>
    </w:p>
    <w:p w14:paraId="4F0A4503" w14:textId="41B1E78B" w:rsidR="0047679D" w:rsidRDefault="0047679D" w:rsidP="0047679D">
      <w:pPr>
        <w:pStyle w:val="Default"/>
        <w:rPr>
          <w:b/>
          <w:bCs/>
          <w:sz w:val="20"/>
          <w:szCs w:val="20"/>
        </w:rPr>
      </w:pPr>
    </w:p>
    <w:p w14:paraId="671C4C17" w14:textId="77777777" w:rsidR="0047679D" w:rsidRDefault="0047679D" w:rsidP="0047679D">
      <w:pPr>
        <w:pStyle w:val="Default"/>
        <w:rPr>
          <w:b/>
          <w:bCs/>
          <w:sz w:val="20"/>
          <w:szCs w:val="20"/>
        </w:rPr>
      </w:pPr>
    </w:p>
    <w:p w14:paraId="3FACB361" w14:textId="77777777" w:rsidR="0047679D" w:rsidRDefault="0047679D" w:rsidP="0047679D">
      <w:pPr>
        <w:jc w:val="both"/>
        <w:rPr>
          <w:rFonts w:ascii="Arial" w:hAnsi="Arial" w:cs="Arial"/>
        </w:rPr>
      </w:pPr>
      <w:r w:rsidRPr="00B1197D">
        <w:rPr>
          <w:rFonts w:ascii="Arial" w:hAnsi="Arial" w:cs="Arial"/>
          <w:b/>
          <w:bCs/>
        </w:rPr>
        <w:t>Contribuição Grupo 3:</w:t>
      </w:r>
      <w:r w:rsidRPr="00B1197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Teoria da Distância Transacional x Teoria da Conversação Didática Guiada</w:t>
      </w:r>
    </w:p>
    <w:p w14:paraId="2A56DEE2" w14:textId="541E152C" w:rsidR="00D55D8E" w:rsidRPr="00E240F2" w:rsidRDefault="00E240F2" w:rsidP="00E240F2">
      <w:pPr>
        <w:pStyle w:val="Default"/>
        <w:numPr>
          <w:ilvl w:val="0"/>
          <w:numId w:val="3"/>
        </w:numPr>
        <w:rPr>
          <w:b/>
          <w:bCs/>
          <w:sz w:val="20"/>
          <w:szCs w:val="20"/>
        </w:rPr>
      </w:pPr>
      <w:hyperlink r:id="rId12" w:history="1">
        <w:r w:rsidRPr="00E240F2">
          <w:rPr>
            <w:rStyle w:val="Hyperlink"/>
            <w:b/>
            <w:bCs/>
            <w:sz w:val="22"/>
            <w:szCs w:val="22"/>
          </w:rPr>
          <w:t>Bibliografia Anota</w:t>
        </w:r>
        <w:r w:rsidRPr="00E240F2">
          <w:rPr>
            <w:rStyle w:val="Hyperlink"/>
            <w:b/>
            <w:bCs/>
            <w:sz w:val="22"/>
            <w:szCs w:val="22"/>
          </w:rPr>
          <w:t>d</w:t>
        </w:r>
        <w:r w:rsidRPr="00E240F2">
          <w:rPr>
            <w:rStyle w:val="Hyperlink"/>
            <w:b/>
            <w:bCs/>
            <w:sz w:val="22"/>
            <w:szCs w:val="22"/>
          </w:rPr>
          <w:t>a_Equipa3</w:t>
        </w:r>
      </w:hyperlink>
    </w:p>
    <w:p w14:paraId="70CAFF9D" w14:textId="36BD1F99" w:rsidR="00E240F2" w:rsidRDefault="00E240F2" w:rsidP="0047679D">
      <w:pPr>
        <w:jc w:val="both"/>
        <w:rPr>
          <w:rFonts w:ascii="Arial" w:hAnsi="Arial" w:cs="Arial"/>
          <w:b/>
          <w:bCs/>
          <w:color w:val="000000"/>
          <w:kern w:val="0"/>
        </w:rPr>
      </w:pPr>
    </w:p>
    <w:p w14:paraId="412DF6E5" w14:textId="6615E3A4" w:rsidR="0047679D" w:rsidRDefault="0047679D" w:rsidP="0047679D">
      <w:pPr>
        <w:jc w:val="both"/>
        <w:rPr>
          <w:rFonts w:ascii="Arial" w:hAnsi="Arial" w:cs="Arial"/>
        </w:rPr>
      </w:pPr>
      <w:r w:rsidRPr="00900B4F">
        <w:rPr>
          <w:rFonts w:ascii="Arial" w:hAnsi="Arial" w:cs="Arial"/>
          <w:b/>
          <w:bCs/>
        </w:rPr>
        <w:t>Contribuição Grupo 4:</w:t>
      </w:r>
      <w:r w:rsidRPr="00900B4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Teoria Industrialização do Ensino x Teoria da Conversação Didática Guiada</w:t>
      </w:r>
    </w:p>
    <w:p w14:paraId="535430FC" w14:textId="5F2281BD" w:rsidR="006624F5" w:rsidRPr="006624F5" w:rsidRDefault="006624F5" w:rsidP="006624F5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hyperlink r:id="rId13" w:history="1">
        <w:r w:rsidRPr="006624F5">
          <w:rPr>
            <w:rStyle w:val="Hyperlink"/>
            <w:rFonts w:ascii="Arial" w:hAnsi="Arial" w:cs="Arial"/>
            <w:b/>
            <w:bCs/>
          </w:rPr>
          <w:t>Bibliografia Anotada Equipa 4:</w:t>
        </w:r>
      </w:hyperlink>
    </w:p>
    <w:p w14:paraId="21748242" w14:textId="77777777" w:rsidR="006624F5" w:rsidRPr="006624F5" w:rsidRDefault="006624F5" w:rsidP="006624F5">
      <w:pPr>
        <w:pStyle w:val="PargrafodaLista"/>
        <w:jc w:val="both"/>
        <w:rPr>
          <w:rFonts w:ascii="Arial" w:hAnsi="Arial" w:cs="Arial"/>
        </w:rPr>
      </w:pPr>
    </w:p>
    <w:p w14:paraId="1EDF0BCE" w14:textId="77777777" w:rsidR="0047679D" w:rsidRDefault="0047679D" w:rsidP="0047679D">
      <w:pPr>
        <w:pStyle w:val="Default"/>
        <w:rPr>
          <w:b/>
          <w:bCs/>
          <w:sz w:val="20"/>
          <w:szCs w:val="20"/>
        </w:rPr>
      </w:pPr>
    </w:p>
    <w:sectPr w:rsidR="0047679D">
      <w:headerReference w:type="defaul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5BA8F" w14:textId="77777777" w:rsidR="003E4BED" w:rsidRDefault="003E4BED" w:rsidP="00D55D8E">
      <w:pPr>
        <w:spacing w:after="0" w:line="240" w:lineRule="auto"/>
      </w:pPr>
      <w:r>
        <w:separator/>
      </w:r>
    </w:p>
  </w:endnote>
  <w:endnote w:type="continuationSeparator" w:id="0">
    <w:p w14:paraId="2BD0A8E2" w14:textId="77777777" w:rsidR="003E4BED" w:rsidRDefault="003E4BED" w:rsidP="00D55D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8F5269" w14:textId="77777777" w:rsidR="003E4BED" w:rsidRDefault="003E4BED" w:rsidP="00D55D8E">
      <w:pPr>
        <w:spacing w:after="0" w:line="240" w:lineRule="auto"/>
      </w:pPr>
      <w:r>
        <w:separator/>
      </w:r>
    </w:p>
  </w:footnote>
  <w:footnote w:type="continuationSeparator" w:id="0">
    <w:p w14:paraId="169FEA79" w14:textId="77777777" w:rsidR="003E4BED" w:rsidRDefault="003E4BED" w:rsidP="00D55D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184B0" w14:textId="31966DB6" w:rsidR="00D55D8E" w:rsidRDefault="00D55D8E" w:rsidP="00D55D8E">
    <w:pPr>
      <w:pStyle w:val="Cabealho"/>
      <w:jc w:val="right"/>
    </w:pPr>
    <w:r>
      <w:rPr>
        <w:noProof/>
      </w:rPr>
      <w:drawing>
        <wp:inline distT="0" distB="0" distL="0" distR="0" wp14:anchorId="72FB9E5B" wp14:editId="65DB9271">
          <wp:extent cx="2814353" cy="406400"/>
          <wp:effectExtent l="0" t="0" r="5080" b="0"/>
          <wp:docPr id="134338898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3388988" name="Imagem 134338898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26807" cy="4081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D2D99"/>
    <w:multiLevelType w:val="multilevel"/>
    <w:tmpl w:val="F70AF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072E12"/>
    <w:multiLevelType w:val="hybridMultilevel"/>
    <w:tmpl w:val="2D7081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2D519F"/>
    <w:multiLevelType w:val="hybridMultilevel"/>
    <w:tmpl w:val="2790119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73F2883"/>
    <w:multiLevelType w:val="hybridMultilevel"/>
    <w:tmpl w:val="BF384ACE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23778E7"/>
    <w:multiLevelType w:val="hybridMultilevel"/>
    <w:tmpl w:val="D0E440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5461703">
    <w:abstractNumId w:val="0"/>
  </w:num>
  <w:num w:numId="2" w16cid:durableId="220022328">
    <w:abstractNumId w:val="1"/>
  </w:num>
  <w:num w:numId="3" w16cid:durableId="1523784207">
    <w:abstractNumId w:val="4"/>
  </w:num>
  <w:num w:numId="4" w16cid:durableId="407574833">
    <w:abstractNumId w:val="2"/>
  </w:num>
  <w:num w:numId="5" w16cid:durableId="39081266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79D"/>
    <w:rsid w:val="00081334"/>
    <w:rsid w:val="001A1A4B"/>
    <w:rsid w:val="001D4B2B"/>
    <w:rsid w:val="003E4BED"/>
    <w:rsid w:val="0041635D"/>
    <w:rsid w:val="0047679D"/>
    <w:rsid w:val="00554523"/>
    <w:rsid w:val="006624F5"/>
    <w:rsid w:val="00833440"/>
    <w:rsid w:val="008E35B4"/>
    <w:rsid w:val="00C1799A"/>
    <w:rsid w:val="00D55D8E"/>
    <w:rsid w:val="00D905FB"/>
    <w:rsid w:val="00E240F2"/>
    <w:rsid w:val="00EF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F937C2"/>
  <w15:chartTrackingRefBased/>
  <w15:docId w15:val="{2DFD0511-156F-45B1-BA60-F868B69D1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79D"/>
  </w:style>
  <w:style w:type="paragraph" w:styleId="Ttulo1">
    <w:name w:val="heading 1"/>
    <w:basedOn w:val="Normal"/>
    <w:next w:val="Normal"/>
    <w:link w:val="Ttulo1Char"/>
    <w:uiPriority w:val="9"/>
    <w:qFormat/>
    <w:rsid w:val="004767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767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767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767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767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767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767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767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767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767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767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7679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7679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7679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7679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7679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7679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7679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767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767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767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767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767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7679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7679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7679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767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7679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7679D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47679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47679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7679D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D55D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55D8E"/>
  </w:style>
  <w:style w:type="paragraph" w:styleId="Rodap">
    <w:name w:val="footer"/>
    <w:basedOn w:val="Normal"/>
    <w:link w:val="RodapChar"/>
    <w:uiPriority w:val="99"/>
    <w:unhideWhenUsed/>
    <w:rsid w:val="00D55D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55D8E"/>
  </w:style>
  <w:style w:type="character" w:styleId="HiperlinkVisitado">
    <w:name w:val="FollowedHyperlink"/>
    <w:basedOn w:val="Fontepargpadro"/>
    <w:uiPriority w:val="99"/>
    <w:semiHidden/>
    <w:unhideWhenUsed/>
    <w:rsid w:val="00E240F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00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dl.tru.ca/wp-content/uploads/2019/08/EDDL5101_W9_Moore_1989.pdf" TargetMode="External"/><Relationship Id="rId13" Type="http://schemas.openxmlformats.org/officeDocument/2006/relationships/hyperlink" Target="https://jornadaelearningandreaveiga6.wordpress.com/wp-content/uploads/2025/03/bibliografia-anotada-_equipa-4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researchgate.net/publication/26455170_Theoretical_Challenges_for_Distance_Education_in_the_21st_Century_A_Shift_from_Structural_to_Transactional_Issues" TargetMode="External"/><Relationship Id="rId12" Type="http://schemas.openxmlformats.org/officeDocument/2006/relationships/hyperlink" Target="https://jornadaelearningandreaveiga6.wordpress.com/wp-content/uploads/2025/03/bibliografia-anotada-_equipa-3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jornadaelearningandreaveiga6.wordpress.com/wp-content/uploads/2025/03/bibliografia-anotada-_equipa-2.pdf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jornadaelearningandreaveiga6.wordpress.com/wp-content/uploads/2025/03/bibliografia_anotada_equipa1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bed.org.br/revistacientifica/Revista_PDF_Doc/2002_Teoria_Distancia_Transacional_Michael_Moore.pdf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2311</Words>
  <Characters>12485</Characters>
  <Application>Microsoft Office Word</Application>
  <DocSecurity>0</DocSecurity>
  <Lines>104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Veiga</dc:creator>
  <cp:keywords/>
  <dc:description/>
  <cp:lastModifiedBy>Andrea Veiga</cp:lastModifiedBy>
  <cp:revision>2</cp:revision>
  <dcterms:created xsi:type="dcterms:W3CDTF">2025-03-06T15:47:00Z</dcterms:created>
  <dcterms:modified xsi:type="dcterms:W3CDTF">2025-03-06T16:53:00Z</dcterms:modified>
</cp:coreProperties>
</file>